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ПНР грозозащиты / SPD на слаботочных линиях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Внешние и межкорпусные слаботочные линии сверены с проектом на наличие SPD</w:t>
      </w:r>
    </w:p>
    <w:p>
      <w:r>
        <w:t xml:space="preserve">☐ Артикул / тип SPD соответствует спецификации и типу линии (Eth / RS-485 / сигнал / 24 В)</w:t>
      </w:r>
    </w:p>
    <w:p>
      <w:r>
        <w:t xml:space="preserve">☐ U_c / поддержка PoE / интерфейс согласованы с datasheet SPD</w:t>
      </w:r>
    </w:p>
    <w:p>
      <w:r>
        <w:t xml:space="preserve">☐ Кабель проходит через SPD без обходных перемычек</w:t>
      </w:r>
    </w:p>
    <w:p>
      <w:r>
        <w:t xml:space="preserve">☐ Отвод к системе уравнивания — короткий, сечение по проекту / инструкции SPD</w:t>
      </w:r>
    </w:p>
    <w:p>
      <w:r>
        <w:t xml:space="preserve">☐ Точка подключения PE/уравнивания — по проекту (не «случайный болт»)</w:t>
      </w:r>
    </w:p>
    <w:p>
      <w:r>
        <w:t xml:space="preserve">☐ Индикатор / контакт неисправности SPD в норме (при наличии); ввод в BMS — по ТЗ</w:t>
      </w:r>
    </w:p>
    <w:p>
      <w:r>
        <w:t xml:space="preserve">☐ Функциональный тест линии после монтажа пройден (ping / Modbus / ток петли)</w:t>
      </w:r>
    </w:p>
    <w:p>
      <w:r>
        <w:t xml:space="preserve">☐ Каскад ступеней защиты (если есть) соответствует проекту</w:t>
      </w:r>
    </w:p>
    <w:p>
      <w:r>
        <w:t xml:space="preserve">☐ Фото узла и запись в журнал ПНР оформлены</w:t>
      </w:r>
    </w:p>
    <w:p>
      <w:r>
        <w:t xml:space="preserve">☐ В актах ссылки — на проект / ПУЭ / документацию SPD без выдуманных номеров пунктов</w:t>
      </w:r>
    </w:p>
    <w:p>
      <w:r>
        <w:t xml:space="preserve">☐ Дефектная ведомость по отсутствующим/неверным SPD заполнена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