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Чек-лист ПНР СКУД PERCo / Sigur / Parsec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Исполнительная схема точек прохода сверена с фактом</w:t>
      </w:r>
    </w:p>
    <w:p>
      <w:r>
        <w:t xml:space="preserve">☐ Питание контроллеров и замков в допуске datasheet под нагрузкой</w:t>
      </w:r>
    </w:p>
    <w:p>
      <w:r>
        <w:t xml:space="preserve">☐ Связь контроллеров с сервером стабильна; IP/адреса уникальны</w:t>
      </w:r>
    </w:p>
    <w:p>
      <w:r>
        <w:t xml:space="preserve">☐ Формат карт / битность согласованы; сквозной тест UID</w:t>
      </w:r>
    </w:p>
    <w:p>
      <w:r>
        <w:t xml:space="preserve">☐ Разрешение / отказ / REX / датчик двери работают</w:t>
      </w:r>
    </w:p>
    <w:p>
      <w:r>
        <w:t xml:space="preserve">☐ APB и тайм-зоны проверены по сценариям ТЗ</w:t>
      </w:r>
    </w:p>
    <w:p>
      <w:r>
        <w:t xml:space="preserve">☐ Пожарный отпуск эвакуационных дверей отработан с АПС</w:t>
      </w:r>
    </w:p>
    <w:p>
      <w:r>
        <w:t xml:space="preserve">☐ NTP / метки времени журнала корректны</w:t>
      </w:r>
    </w:p>
    <w:p>
      <w:r>
        <w:t xml:space="preserve">☐ Резервная копия конфигурации ПО передана заказчику</w:t>
      </w:r>
    </w:p>
    <w:p>
      <w:r>
        <w:t xml:space="preserve">☐ Протокол ПНР и дефектная ведомость оформлены</w:t>
      </w:r>
    </w:p>
    <w:p>
      <w:r>
        <w:t xml:space="preserve"/>
      </w:r>
    </w:p>
    <w:p>
      <w:r>
        <w:t xml:space="preserve">Примечание: заполнять по факту на объекте. Допуски — только из проекта, ТЗ и документации производителя.</w:t>
      </w:r>
    </w:p>
    <w:p>
      <w:r>
        <w:t xml:space="preserve">Источник: pnr24.ru</w:t>
      </w:r>
    </w:p>
    <w:sectPr>
      <w:pgSz w:w="11906" w:h="16838"/>
      <w:pgMar w:top="1134" w:right="850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