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\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\_rels\document.xml.rels><?xml version="1.0" encoding="UTF-8" standalone="yes"?>
<Relationships xmlns="http://schemas.openxmlformats.org/package/2006/relationships"></Relationships>
</file>

<file path=word\document.xml><?xml version="1.0" encoding="utf-8"?>
<w:document xmlns:w="http://schemas.openxmlformats.org/wordprocessingml/2006/main">
  <w:body>
    <w:p>
      <w:r>
        <w:rPr>
          <w:b/>
        </w:rPr>
        <w:t xml:space="preserve">Чек-лист приёмки OPC UA / Classic OPC DA в BMS</w:t>
      </w:r>
    </w:p>
    <w:p>
      <w:r>
        <w:t xml:space="preserve">Объект: ________________    Дата: __________    Инженер: ________________</w:t>
      </w:r>
    </w:p>
    <w:p>
      <w:r>
        <w:t xml:space="preserve"/>
      </w:r>
    </w:p>
    <w:p>
      <w:r>
        <w:t xml:space="preserve">☐ Тип интеграции (OPC UA / Classic OPC DA / шлюз DA↔UA) соответствует проекту</w:t>
      </w:r>
    </w:p>
    <w:p>
      <w:r>
        <w:t xml:space="preserve">☐ Endpoint URL (UA) или ProgID/путь сервера (DA) зафиксированы в исполнительной документации</w:t>
      </w:r>
    </w:p>
    <w:p>
      <w:r>
        <w:t xml:space="preserve">☐ Security Policy и Message Security Mode согласованы с ИБ заказчика</w:t>
      </w:r>
    </w:p>
    <w:p>
      <w:r>
        <w:t xml:space="preserve">☐ Сертификаты Application Instance в trust list; rejected очищен / разобран</w:t>
      </w:r>
    </w:p>
    <w:p>
      <w:r>
        <w:t xml:space="preserve">☐ Пользовательский токен (Anonymous / Username / Certificate) — по политике объекта</w:t>
      </w:r>
    </w:p>
    <w:p>
      <w:r>
        <w:t xml:space="preserve">☐ Правила МСЭ открывают фактические порты (UA часто 4840/tcp — но проверить конфиг; DA/DCOM — по проекту ИБ)</w:t>
      </w:r>
    </w:p>
    <w:p>
      <w:r>
        <w:t xml:space="preserve">☐ Browse Address Space / список Items соответствует таблице точек (выборка + критичные)</w:t>
      </w:r>
    </w:p>
    <w:p>
      <w:r>
        <w:t xml:space="preserve">☐ Data type, единицы измерения и масштаб тегов верны</w:t>
      </w:r>
    </w:p>
    <w:p>
      <w:r>
        <w:t xml:space="preserve">☐ Read path: изменение на поле → обновление в SCADA с Quality/StatusCode Good</w:t>
      </w:r>
    </w:p>
    <w:p>
      <w:r>
        <w:t xml:space="preserve">☐ Write path: разрешённые уставки доходят до контроллера и подтверждаются Read</w:t>
      </w:r>
    </w:p>
    <w:p>
      <w:r>
        <w:t xml:space="preserve">☐ Fail path: обрыв источника → Bad/Uncertain и авария связи</w:t>
      </w:r>
    </w:p>
    <w:p>
      <w:r>
        <w:t xml:space="preserve">☐ Интервал подписки / групп опроса соответствует ТЗ (нет потери обновлений / перегруза)</w:t>
      </w:r>
    </w:p>
    <w:p>
      <w:r>
        <w:t xml:space="preserve">☐ NTP: метки времени клиента и сервера в допуске проекта</w:t>
      </w:r>
    </w:p>
    <w:p>
      <w:r>
        <w:t xml:space="preserve">☐ Резервная копия конфигурации OPC-сервера и клиента сохранена</w:t>
      </w:r>
    </w:p>
    <w:p>
      <w:r>
        <w:t xml:space="preserve">☐ Протокол приёмочных испытаний OPC подписан сторонами</w:t>
      </w:r>
    </w:p>
    <w:p>
      <w:r>
        <w:t xml:space="preserve"/>
      </w:r>
    </w:p>
    <w:p>
      <w:r>
        <w:t xml:space="preserve">Примечание: заполнять по факту на объекте. Допуски и уставки — только из проекта, ТЗ и документации производителя.</w:t>
      </w:r>
    </w:p>
    <w:p>
      <w:r>
        <w:t xml:space="preserve">Источник: pnr24.ru — база знаний для инженеров-пусконаладчиков.</w:t>
      </w:r>
    </w:p>
    <w:sectPr>
      <w:pgSz w:w="11906" w:h="16838"/>
      <w:pgMar w:top="1134" w:right="850" w:bottom="1134" w:left="1134"/>
    </w:sectPr>
  </w:body>
</w:document>
</file>