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ПНР metering: тепло / вода / электро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Список узлов учёта и каналов опроса сверен с проектом</w:t>
      </w:r>
    </w:p>
    <w:p>
      <w:r>
        <w:t xml:space="preserve">☐ Вес импульса / карта регистров / адрес M-Bus соответствуют паспорту СИ</w:t>
      </w:r>
    </w:p>
    <w:p>
      <w:r>
        <w:t xml:space="preserve">☐ Единицы и масштабы на пути до SCADA согласованы (нет двойного масштаба)</w:t>
      </w:r>
    </w:p>
    <w:p>
      <w:r>
        <w:t xml:space="preserve">☐ Endian/тип данных Modbus проверены (нет «космических» значений)</w:t>
      </w:r>
    </w:p>
    <w:p>
      <w:r>
        <w:t xml:space="preserve">☐ Сверка индикатор прибора ↔ тег SCADA выполнена; допуск — по ТЗ/программе ПНР</w:t>
      </w:r>
    </w:p>
    <w:p>
      <w:r>
        <w:t xml:space="preserve">☐ Для тепла: расход, t1/t2, энергия и направление потока проверены</w:t>
      </w:r>
    </w:p>
    <w:p>
      <w:r>
        <w:t xml:space="preserve">☐ Для воды: нарастающий объём и мгновенный расход не перепутаны</w:t>
      </w:r>
    </w:p>
    <w:p>
      <w:r>
        <w:t xml:space="preserve">☐ Для электро: CT/VT коэффициенты совпадают с проектом и настройкой</w:t>
      </w:r>
    </w:p>
    <w:p>
      <w:r>
        <w:t xml:space="preserve">☐ Эталон/методика сверки и зав. № (если применимо) указаны в протоколе</w:t>
      </w:r>
    </w:p>
    <w:p>
      <w:r>
        <w:t xml:space="preserve">☐ Инженерная сверка канала не подменена заявлением об официальной поверке СИ</w:t>
      </w:r>
    </w:p>
    <w:p>
      <w:r>
        <w:t xml:space="preserve">☐ Метки времени / NTP согласованы для отчётных интервалов</w:t>
      </w:r>
    </w:p>
    <w:p>
      <w:r>
        <w:t xml:space="preserve">☐ Протоколы сверки и таблица точек переданы в комплект ПНР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