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\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\_rels\document.xml.rels><?xml version="1.0" encoding="UTF-8" standalone="yes"?>
<Relationships xmlns="http://schemas.openxmlformats.org/package/2006/relationships"></Relationships>
</file>

<file path=word\document.xml><?xml version="1.0" encoding="utf-8"?>
<w:document xmlns:w="http://schemas.openxmlformats.org/wordprocessingml/2006/main">
  <w:body>
    <w:p>
      <w:r>
        <w:rPr>
          <w:b/>
        </w:rPr>
        <w:t xml:space="preserve">Чек-лист ПНР KNX / ETS: адресация, download, диагностика</w:t>
      </w:r>
    </w:p>
    <w:p>
      <w:r>
        <w:t xml:space="preserve">Объект: ________________    Дата: __________    Инженер: ________________</w:t>
      </w:r>
    </w:p>
    <w:p>
      <w:r>
        <w:t xml:space="preserve"/>
      </w:r>
    </w:p>
    <w:p>
      <w:r>
        <w:t xml:space="preserve">☐ Актуальный файл проекта .knxproj и таблица IA/GA согласованы с проектом BMS / ТЗ</w:t>
      </w:r>
    </w:p>
    <w:p>
      <w:r>
        <w:t xml:space="preserve">☐ Полярность шины KNX TP проверена на источниках питания и ключевых шкафах</w:t>
      </w:r>
    </w:p>
    <w:p>
      <w:r>
        <w:t xml:space="preserve">☐ Напряжение Ubus на выходе PSU линии в допуске по datasheet производителя</w:t>
      </w:r>
    </w:p>
    <w:p>
      <w:r>
        <w:t xml:space="preserve">☐ Напряжение Ubus на дальнем конце линии измерено; падение допустимо по проекту / datasheet</w:t>
      </w:r>
    </w:p>
    <w:p>
      <w:r>
        <w:t xml:space="preserve">☐ Ток линии не превышает номинал источника питания; признаков КЗ нет</w:t>
      </w:r>
    </w:p>
    <w:p>
      <w:r>
        <w:t xml:space="preserve">☐ Топология (линия / область / магистраль) соответствует проекту; соединители на местах</w:t>
      </w:r>
    </w:p>
    <w:p>
      <w:r>
        <w:t xml:space="preserve">☐ Согласующие элементы / правила монтажа KNX — по документации производителя (не путать с RS-485 120 Ω)</w:t>
      </w:r>
    </w:p>
    <w:p>
      <w:r>
        <w:t xml:space="preserve">☐ Все Individual Address (A.L.D) уникальны; дубликаты отсутствуют</w:t>
      </w:r>
    </w:p>
    <w:p>
      <w:r>
        <w:t xml:space="preserve">☐ Журнал соответствия IA ↔ помещение ↔ заводской номер / маркировка заполнен</w:t>
      </w:r>
    </w:p>
    <w:p>
      <w:r>
        <w:t xml:space="preserve">☐ Group Address и DPT согласованы с таблицей точек; конфликтов типов нет</w:t>
      </w:r>
    </w:p>
    <w:p>
      <w:r>
        <w:t xml:space="preserve">☐ Download application / addresses выполнен без ошибок ETS</w:t>
      </w:r>
    </w:p>
    <w:p>
      <w:r>
        <w:t xml:space="preserve">☐ Выполнена проверка (verify / функциональный тест) после download</w:t>
      </w:r>
    </w:p>
    <w:p>
      <w:r>
        <w:t xml:space="preserve">☐ Ключевые GA проверены в Group Monitor (Write/Read, реакция исполнителя)</w:t>
      </w:r>
    </w:p>
    <w:p>
      <w:r>
        <w:t xml:space="preserve">☐ При проблемах снят фрагмент Bus Monitor (ACK/NACK, источник/назначение)</w:t>
      </w:r>
    </w:p>
    <w:p>
      <w:r>
        <w:t xml:space="preserve">☐ Фильтры маршрутизации line/area coupler соответствуют проекту</w:t>
      </w:r>
    </w:p>
    <w:p>
      <w:r>
        <w:t xml:space="preserve">☐ Функциональные сценарии (освещение, жалюзи, зоны HVAC и др. по ТЗ) отработаны</w:t>
      </w:r>
    </w:p>
    <w:p>
      <w:r>
        <w:t xml:space="preserve">☐ Резервная копия .knxproj передана заказчику / в архив ПНР</w:t>
      </w:r>
    </w:p>
    <w:p>
      <w:r>
        <w:t xml:space="preserve">☐ Дефектная ведомость и записи журнала ПНР оформлены</w:t>
      </w:r>
    </w:p>
    <w:p>
      <w:r>
        <w:t xml:space="preserve"/>
      </w:r>
    </w:p>
    <w:p>
      <w:r>
        <w:t xml:space="preserve">Примечание: заполнять по факту на объекте. Допуски и уставки — только из проекта, ТЗ и документации производителя.</w:t>
      </w:r>
    </w:p>
    <w:p>
      <w:r>
        <w:t xml:space="preserve">Источник: pnr24.ru — база знаний для инженеров-пусконаладчиков.</w:t>
      </w:r>
    </w:p>
    <w:sectPr>
      <w:pgSz w:w="11906" w:h="16838"/>
      <w:pgMar w:top="1134" w:right="850" w:bottom="1134" w:left="1134"/>
    </w:sectPr>
  </w:body>
</w:document>
</file>